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30 minut aktywności dziennie może obniżać ryzyko poważnego stresu o 26 proc. Brytyjscy i francuscy naukowcy wskazują, że przy niedostatecznym nawodnieniu reakcja kortyzolowa może być o 55 proc. wyższa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Regularny ruch i odpowiednie nawodnienie wpływają na to, jak organizm odpowiada na stres. Najnowsze badanie brytyjskich i francuskich naukowców wskazuje, że u osób spożywających mniej płynów reakcja kortyzolowa może być o około 55 proc. wyższa. W tym kontekście uwagę zwraca również rosnące zainteresowanie nowymi dyscyplinami sportowymi, w tym pickleballem, którego liczba graczy wzrosła w ciągu pięciu lat o 479 proc.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Aktywność fizyczna odgrywa istotną rolę w radzeniu sobie ze stresem. Według najnowszego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opublikowanego na łamach „Mechanisms of Ageing and Development”, obejmującego dane blisko 75 tys. osób, </w:t>
      </w:r>
      <w:r>
        <w:rPr>
          <w:rFonts w:ascii="calibri" w:hAnsi="calibri" w:eastAsia="calibri" w:cs="calibri"/>
          <w:sz w:val="24"/>
          <w:szCs w:val="24"/>
          <w:b/>
        </w:rPr>
        <w:t xml:space="preserve">około 30 minut umiarkowanej lub intensywnej aktywności fizycznej dziennie wiązało się z 26 proc. niższym ryzykiem wystąpienia poważnego stresu</w:t>
      </w:r>
      <w:r>
        <w:rPr>
          <w:rFonts w:ascii="calibri" w:hAnsi="calibri" w:eastAsia="calibri" w:cs="calibri"/>
          <w:sz w:val="24"/>
          <w:szCs w:val="24"/>
        </w:rPr>
        <w:t xml:space="preserve">. Znaczenie ma przy tym również odpowiednie nawodnienie.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brytyjskich i francuskich naukowców wskazuje, że </w:t>
      </w:r>
      <w:r>
        <w:rPr>
          <w:rFonts w:ascii="calibri" w:hAnsi="calibri" w:eastAsia="calibri" w:cs="calibri"/>
          <w:sz w:val="24"/>
          <w:szCs w:val="24"/>
          <w:b/>
        </w:rPr>
        <w:t xml:space="preserve">u osób pijących średnio 1,3 litra płynów dziennie reakcja kortyzolowa na sytuację stresową była o około 55 proc. wyższa </w:t>
      </w:r>
      <w:r>
        <w:rPr>
          <w:rFonts w:ascii="calibri" w:hAnsi="calibri" w:eastAsia="calibri" w:cs="calibri"/>
          <w:sz w:val="24"/>
          <w:szCs w:val="24"/>
        </w:rPr>
        <w:t xml:space="preserve">niż u osób spożywających średnio 4,4 litra.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kontekście znaczenia aktywności fizycznej dla zdrowia uwagę zwracają także nowe trendy sportowe.</w:t>
      </w:r>
      <w:r>
        <w:rPr>
          <w:rFonts w:ascii="calibri" w:hAnsi="calibri" w:eastAsia="calibri" w:cs="calibri"/>
          <w:sz w:val="24"/>
          <w:szCs w:val="24"/>
          <w:b/>
        </w:rPr>
        <w:t xml:space="preserve"> Na popularności zyskuje pickleball - dyscyplina, które jeszcze kilka lat temu pozostawała niszowa</w:t>
      </w:r>
      <w:r>
        <w:rPr>
          <w:rFonts w:ascii="calibri" w:hAnsi="calibri" w:eastAsia="calibri" w:cs="calibri"/>
          <w:sz w:val="24"/>
          <w:szCs w:val="24"/>
        </w:rPr>
        <w:t xml:space="preserve">. Według najnowszego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raportu</w:t>
        </w:r>
      </w:hyperlink>
      <w:r>
        <w:rPr>
          <w:rFonts w:ascii="calibri" w:hAnsi="calibri" w:eastAsia="calibri" w:cs="calibri"/>
          <w:sz w:val="24"/>
          <w:szCs w:val="24"/>
        </w:rPr>
        <w:t xml:space="preserve"> Sports &amp; Fitness Industry Association (SFIA) w 2025 roku w Stanach Zjednoczonych grało w niego 24,3 mln osób, podczas gdy w 2020 roku było to 4,2 mln. Oznacza to </w:t>
      </w:r>
      <w:r>
        <w:rPr>
          <w:rFonts w:ascii="calibri" w:hAnsi="calibri" w:eastAsia="calibri" w:cs="calibri"/>
          <w:sz w:val="24"/>
          <w:szCs w:val="24"/>
          <w:b/>
        </w:rPr>
        <w:t xml:space="preserve">wzrost liczby graczy o 479 proc. w ciągu pięciu lat</w:t>
      </w:r>
      <w:r>
        <w:rPr>
          <w:rFonts w:ascii="calibri" w:hAnsi="calibri" w:eastAsia="calibri" w:cs="calibri"/>
          <w:sz w:val="24"/>
          <w:szCs w:val="24"/>
        </w:rPr>
        <w:t xml:space="preserve">. W 2025 roku pickleball już piąty rok z rzędu był najszybciej rozwijającym się sportem w Stanach Zjednoczonych. Dyscyplina cieszy się dużym zainteresowaniem wśród młodych graczy - najwyższy wskaźnik uczestnictwa odnotowano w grupie osób w wieku 13-24 lata. Rośnie również liczba najbardziej zaangażowanych zawodników, czyli osób grających co najmniej osiem razy w roku - z 1,4 mln w 2020 roku do 7,5 mln w 2025 roku.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Popularność dyscypliny coraz wyraźniej zaznacza się również w Europie.</w:t>
      </w:r>
      <w:r>
        <w:rPr>
          <w:rFonts w:ascii="calibri" w:hAnsi="calibri" w:eastAsia="calibri" w:cs="calibri"/>
          <w:sz w:val="24"/>
          <w:szCs w:val="24"/>
        </w:rPr>
        <w:t xml:space="preserve"> European Pickleball Federation (EPF), powołana w maju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2023</w:t>
        </w:r>
      </w:hyperlink>
      <w:r>
        <w:rPr>
          <w:rFonts w:ascii="calibri" w:hAnsi="calibri" w:eastAsia="calibri" w:cs="calibri"/>
          <w:sz w:val="24"/>
          <w:szCs w:val="24"/>
        </w:rPr>
        <w:t xml:space="preserve"> roku w celu wspierania rozwoju tego sportu na kontynencie, już w momencie utworzenia skupiała organizacje z 25 krajów. Dwa lata później w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drugiej edycji</w:t>
        </w:r>
      </w:hyperlink>
      <w:r>
        <w:rPr>
          <w:rFonts w:ascii="calibri" w:hAnsi="calibri" w:eastAsia="calibri" w:cs="calibri"/>
          <w:sz w:val="24"/>
          <w:szCs w:val="24"/>
        </w:rPr>
        <w:t xml:space="preserve"> European Pickleball Team Championships w Rzymie rywalizowały reprezentacje 30 europejskich państw, w tym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jednym z głównych wydarzeń związanych z tą dyscypliną jest </w:t>
      </w:r>
      <w:r>
        <w:rPr>
          <w:rFonts w:ascii="calibri" w:hAnsi="calibri" w:eastAsia="calibri" w:cs="calibri"/>
          <w:sz w:val="24"/>
          <w:szCs w:val="24"/>
          <w:b/>
        </w:rPr>
        <w:t xml:space="preserve">JOOLA Polish Open 2026</w:t>
      </w:r>
      <w:r>
        <w:rPr>
          <w:rFonts w:ascii="calibri" w:hAnsi="calibri" w:eastAsia="calibri" w:cs="calibri"/>
          <w:sz w:val="24"/>
          <w:szCs w:val="24"/>
        </w:rPr>
        <w:t xml:space="preserve"> - największy turniej pickleballowy w kraju. Jego oficjalnym partnerem został waterdrop, rozszerzając swoje zaangażowanie w inicjatywy sportowe. W dniach 4-6 września w Śląskim Centrum Tenisa w Pszczynie spotka się około 250 zawodników z Polski i zagranicy. Marka zapewni nagrody i próbki dla uczestników oraz gości wydarzenia, a podczas turnieju będzie miała również własną strefę waterdrop Hydration Break, w której zawodnicy i odwiedzający będą mogli spróbować wybranych smaków kapsułek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Sport od lat zajmuje istotne miejsce w strategii waterdrop i pozostaje jednym z kluczowych obszarów zaangażowania marki. Pickleball ma już silną pozycję w Stanach Zjednoczonych, a jego popularność coraz wyraźniej rośnie również w Europie Środkowo-Wschodniej. Partnerstwo z JOOLA Polish Open jest naturalnym rozwinięciem naszych działań w Polsce i odpowiedzią na rosnące zainteresowanie dyscypliną, w której dostrzegamy duży potencjał na naszym rynku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mówi Eliška Rezníček Dočkalová, General Manager Waterdrop CEE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Zaangażowaniu marki w sportową inicjatywę towarzyszy premiera nowego smaku kapsułek z linii Microenergy -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White Peach Boost</w:t>
        </w:r>
      </w:hyperlink>
      <w:r>
        <w:rPr>
          <w:rFonts w:ascii="calibri" w:hAnsi="calibri" w:eastAsia="calibri" w:cs="calibri"/>
          <w:sz w:val="24"/>
          <w:szCs w:val="24"/>
        </w:rPr>
        <w:t xml:space="preserve">. Łączą one smak białej brzoskwini z 90 mg naturalnej kofeiny pozyskiwanej z ziaren kawy w jednej porcji. Zawierają także witaminy C, B6 i B12, niacynę oraz kwas pantotenowy. Produkt przyczynia się do zmniejszenia uczucia zmęczenia i znużenia.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41956158/" TargetMode="External"/><Relationship Id="rId8" Type="http://schemas.openxmlformats.org/officeDocument/2006/relationships/hyperlink" Target="https://pubmed.ncbi.nlm.nih.gov/40803748/" TargetMode="External"/><Relationship Id="rId9" Type="http://schemas.openxmlformats.org/officeDocument/2006/relationships/hyperlink" Target="https://sfia.org/resources/sfia-releases-2026-pickleball-single-sport-report-team-sports-reports-to-follow/" TargetMode="External"/><Relationship Id="rId10" Type="http://schemas.openxmlformats.org/officeDocument/2006/relationships/hyperlink" Target="https://europeanpickleballfederation.org/history/" TargetMode="External"/><Relationship Id="rId11" Type="http://schemas.openxmlformats.org/officeDocument/2006/relationships/hyperlink" Target="https://europeanpickleballfederation.org/epc-2025/" TargetMode="External"/><Relationship Id="rId12" Type="http://schemas.openxmlformats.org/officeDocument/2006/relationships/hyperlink" Target="https://waterdrop.pl/products/microenergy-white-peach-boost?variant=53879360094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2026-09-05T09:29:39+02:00</dcterms:created>
  <dcterms:modified xsi:type="dcterms:W3CDTF">2026-09-05T09:29:39+02:00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